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B7D4" w14:textId="77777777" w:rsidR="00D016B9" w:rsidRDefault="00AC1981" w:rsidP="00D016B9">
      <w:pPr>
        <w:rPr>
          <w:b/>
          <w:bCs/>
        </w:rPr>
      </w:pPr>
      <w:r>
        <w:rPr>
          <w:b/>
        </w:rPr>
        <w:t xml:space="preserve">UNITATEA DE ÎNVĂȚARE:  </w:t>
      </w:r>
      <w:bookmarkStart w:id="0" w:name="_Hlk169443065"/>
      <w:r w:rsidR="00D016B9">
        <w:rPr>
          <w:b/>
          <w:bCs/>
        </w:rPr>
        <w:t xml:space="preserve">Igiena reproducerii </w:t>
      </w:r>
    </w:p>
    <w:bookmarkEnd w:id="0"/>
    <w:p w14:paraId="6C2E6C18" w14:textId="563C1525" w:rsidR="00AC1981" w:rsidRDefault="00AC1981" w:rsidP="00AC1981">
      <w:pPr>
        <w:rPr>
          <w:b/>
        </w:rPr>
      </w:pPr>
      <w:r>
        <w:rPr>
          <w:b/>
        </w:rPr>
        <w:t xml:space="preserve">Nr. de ore alocate: </w:t>
      </w:r>
      <w:r w:rsidR="008A313E">
        <w:rPr>
          <w:b/>
        </w:rPr>
        <w:t>4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160"/>
        <w:gridCol w:w="540"/>
        <w:gridCol w:w="4230"/>
        <w:gridCol w:w="1350"/>
        <w:gridCol w:w="1980"/>
        <w:gridCol w:w="1890"/>
        <w:gridCol w:w="1350"/>
        <w:gridCol w:w="1800"/>
      </w:tblGrid>
      <w:tr w:rsidR="00AC1981" w14:paraId="065DF234" w14:textId="77777777" w:rsidTr="00D016B9">
        <w:trPr>
          <w:trHeight w:val="276"/>
        </w:trPr>
        <w:tc>
          <w:tcPr>
            <w:tcW w:w="2160" w:type="dxa"/>
            <w:vMerge w:val="restart"/>
          </w:tcPr>
          <w:p w14:paraId="4BF5D5BF" w14:textId="77777777" w:rsidR="00AC1981" w:rsidRDefault="00AC1981" w:rsidP="00DC4562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540" w:type="dxa"/>
            <w:vMerge w:val="restart"/>
          </w:tcPr>
          <w:p w14:paraId="3115D222" w14:textId="77777777" w:rsidR="00AC1981" w:rsidRDefault="00AC1981" w:rsidP="00DC4562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230" w:type="dxa"/>
            <w:vMerge w:val="restart"/>
          </w:tcPr>
          <w:p w14:paraId="2D2B42B6" w14:textId="77777777" w:rsidR="00AC1981" w:rsidRDefault="00AC1981" w:rsidP="00DC4562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FAB0A38" w14:textId="77777777" w:rsidR="00AC1981" w:rsidRPr="00201A5A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0FB3F8D6" w14:textId="77777777" w:rsidR="00AC1981" w:rsidRDefault="00AC1981" w:rsidP="00DC4562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AC1981" w14:paraId="56D4D8CD" w14:textId="77777777" w:rsidTr="00D016B9">
        <w:trPr>
          <w:trHeight w:val="300"/>
        </w:trPr>
        <w:tc>
          <w:tcPr>
            <w:tcW w:w="2160" w:type="dxa"/>
            <w:vMerge/>
          </w:tcPr>
          <w:p w14:paraId="5D215ACE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540" w:type="dxa"/>
            <w:vMerge/>
          </w:tcPr>
          <w:p w14:paraId="63A5673A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230" w:type="dxa"/>
            <w:vMerge/>
          </w:tcPr>
          <w:p w14:paraId="5B760678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1350" w:type="dxa"/>
          </w:tcPr>
          <w:p w14:paraId="59E300BC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74A00FA6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3B854DF7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040CBD8C" w14:textId="77777777" w:rsidR="00AC1981" w:rsidRDefault="00AC1981" w:rsidP="00DC4562">
            <w:pPr>
              <w:jc w:val="center"/>
            </w:pPr>
          </w:p>
        </w:tc>
        <w:tc>
          <w:tcPr>
            <w:tcW w:w="1350" w:type="dxa"/>
          </w:tcPr>
          <w:p w14:paraId="77D05BE7" w14:textId="77777777" w:rsidR="00AC1981" w:rsidRDefault="00AC1981" w:rsidP="00DC4562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0F62A807" w14:textId="77777777" w:rsidR="00AC1981" w:rsidRDefault="00AC1981" w:rsidP="00DC4562">
            <w:pPr>
              <w:rPr>
                <w:b/>
              </w:rPr>
            </w:pPr>
          </w:p>
        </w:tc>
      </w:tr>
      <w:tr w:rsidR="00D041C4" w14:paraId="02C6A294" w14:textId="77777777" w:rsidTr="00D016B9">
        <w:trPr>
          <w:trHeight w:val="300"/>
        </w:trPr>
        <w:tc>
          <w:tcPr>
            <w:tcW w:w="2160" w:type="dxa"/>
          </w:tcPr>
          <w:p w14:paraId="3E8E1C85" w14:textId="3594D111" w:rsidR="00D041C4" w:rsidRPr="008A313E" w:rsidRDefault="00D041C4" w:rsidP="00D041C4">
            <w:pPr>
              <w:rPr>
                <w:bCs/>
              </w:rPr>
            </w:pPr>
            <w:r w:rsidRPr="00D016B9">
              <w:rPr>
                <w:bCs/>
              </w:rPr>
              <w:t>Elemente de igienă și de prevenire a îmbolnăvirilor sistemului reproducător la om, infecții cu transmitere sexuală</w:t>
            </w:r>
          </w:p>
        </w:tc>
        <w:tc>
          <w:tcPr>
            <w:tcW w:w="540" w:type="dxa"/>
          </w:tcPr>
          <w:p w14:paraId="1D793F39" w14:textId="77777777" w:rsidR="00D041C4" w:rsidRDefault="00D041C4" w:rsidP="00D041C4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4F7B2767" w14:textId="77777777" w:rsidR="00D041C4" w:rsidRDefault="00D041C4" w:rsidP="00D041C4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42A36F03" w14:textId="77777777" w:rsidR="00D041C4" w:rsidRDefault="00D041C4" w:rsidP="00D041C4">
            <w:pPr>
              <w:widowControl w:val="0"/>
              <w:spacing w:line="240" w:lineRule="auto"/>
              <w:jc w:val="center"/>
            </w:pPr>
            <w:r>
              <w:t>4.1</w:t>
            </w:r>
          </w:p>
          <w:p w14:paraId="6862106F" w14:textId="12E6A2B4" w:rsidR="00D041C4" w:rsidRDefault="00D041C4" w:rsidP="00D041C4">
            <w:pPr>
              <w:rPr>
                <w:b/>
              </w:rPr>
            </w:pPr>
            <w:r>
              <w:t>4.2</w:t>
            </w:r>
          </w:p>
        </w:tc>
        <w:tc>
          <w:tcPr>
            <w:tcW w:w="4230" w:type="dxa"/>
          </w:tcPr>
          <w:p w14:paraId="0410E19D" w14:textId="7A473F73" w:rsidR="00D041C4" w:rsidRPr="00BD773F" w:rsidRDefault="00D041C4" w:rsidP="00D041C4">
            <w:pPr>
              <w:spacing w:line="240" w:lineRule="auto"/>
              <w:rPr>
                <w:bCs/>
              </w:rPr>
            </w:pPr>
            <w:r w:rsidRPr="00D016B9">
              <w:rPr>
                <w:bCs/>
              </w:rPr>
              <w:t>Vizion</w:t>
            </w:r>
            <w:r>
              <w:rPr>
                <w:bCs/>
              </w:rPr>
              <w:t>ează</w:t>
            </w:r>
            <w:r w:rsidRPr="00D016B9">
              <w:rPr>
                <w:bCs/>
              </w:rPr>
              <w:t xml:space="preserve"> filme,</w:t>
            </w:r>
            <w:r>
              <w:rPr>
                <w:bCs/>
              </w:rPr>
              <w:t xml:space="preserve"> se</w:t>
            </w:r>
            <w:r w:rsidRPr="00D016B9">
              <w:rPr>
                <w:bCs/>
              </w:rPr>
              <w:t xml:space="preserve"> întâln</w:t>
            </w:r>
            <w:r>
              <w:rPr>
                <w:bCs/>
              </w:rPr>
              <w:t>esc</w:t>
            </w:r>
            <w:r w:rsidRPr="00D016B9">
              <w:rPr>
                <w:bCs/>
              </w:rPr>
              <w:t xml:space="preserve"> cu specialiști în scopul identificării unor comportamente de risc și al realizării de predicții referitoare la consecințele medicale și sociale ale adoptării unor astfel de comportamente</w:t>
            </w:r>
            <w:r>
              <w:rPr>
                <w:bCs/>
              </w:rPr>
              <w:t xml:space="preserve"> (</w:t>
            </w:r>
            <w:r w:rsidRPr="00D016B9">
              <w:rPr>
                <w:bCs/>
              </w:rPr>
              <w:t>BTS, sarcină la o vârstă nepotrivită</w:t>
            </w:r>
            <w:r>
              <w:rPr>
                <w:bCs/>
              </w:rPr>
              <w:t>)</w:t>
            </w:r>
          </w:p>
        </w:tc>
        <w:tc>
          <w:tcPr>
            <w:tcW w:w="1350" w:type="dxa"/>
          </w:tcPr>
          <w:p w14:paraId="16ABF544" w14:textId="2E338D99" w:rsidR="00D041C4" w:rsidRDefault="00D041C4" w:rsidP="00D041C4">
            <w:pPr>
              <w:pStyle w:val="ListParagraph"/>
              <w:spacing w:line="240" w:lineRule="auto"/>
              <w:ind w:left="-114"/>
              <w:jc w:val="center"/>
            </w:pPr>
            <w:r>
              <w:t>100’</w:t>
            </w:r>
          </w:p>
        </w:tc>
        <w:tc>
          <w:tcPr>
            <w:tcW w:w="1980" w:type="dxa"/>
          </w:tcPr>
          <w:p w14:paraId="2771C101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5DECF224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66123102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2EF0313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26627617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57B007E0" w14:textId="2D6EE2BC" w:rsidR="00D041C4" w:rsidRPr="009E77DA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67E0BA61" w14:textId="77777777" w:rsidR="00D041C4" w:rsidRPr="00B85F44" w:rsidRDefault="00D041C4" w:rsidP="00D041C4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3974CC95" w14:textId="54831725" w:rsidR="00D041C4" w:rsidRPr="00B85F44" w:rsidRDefault="00D041C4" w:rsidP="00D041C4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B25EFC7" w14:textId="77777777" w:rsidR="00D041C4" w:rsidRDefault="00D041C4" w:rsidP="00D041C4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0D93AFB" w14:textId="0E938861" w:rsidR="00D041C4" w:rsidRDefault="00D041C4" w:rsidP="00D041C4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8B89AA2" w14:textId="77777777" w:rsidR="00D041C4" w:rsidRPr="00B85F44" w:rsidRDefault="00D041C4" w:rsidP="00D041C4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1D10FE76" w14:textId="77777777" w:rsidR="00D041C4" w:rsidRPr="00AC1981" w:rsidRDefault="00D041C4" w:rsidP="00D041C4">
            <w:pPr>
              <w:spacing w:line="240" w:lineRule="auto"/>
            </w:pPr>
            <w:r w:rsidRPr="00AC1981">
              <w:t>Probe orale</w:t>
            </w:r>
          </w:p>
          <w:p w14:paraId="5BD4385E" w14:textId="77777777" w:rsidR="00D041C4" w:rsidRPr="00AC1981" w:rsidRDefault="00D041C4" w:rsidP="00D041C4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7834A4F" w14:textId="30E6D8B4" w:rsidR="00D041C4" w:rsidRPr="00AC1981" w:rsidRDefault="00D041C4" w:rsidP="00D041C4"/>
        </w:tc>
      </w:tr>
      <w:tr w:rsidR="00EF1F20" w14:paraId="3D4B9AC8" w14:textId="77777777" w:rsidTr="00D016B9">
        <w:trPr>
          <w:trHeight w:val="300"/>
        </w:trPr>
        <w:tc>
          <w:tcPr>
            <w:tcW w:w="2160" w:type="dxa"/>
          </w:tcPr>
          <w:p w14:paraId="60F2C0EC" w14:textId="714E0D34" w:rsidR="00EF1F20" w:rsidRDefault="00D016B9" w:rsidP="00EF1F20">
            <w:r>
              <w:t>Recapitulare</w:t>
            </w:r>
          </w:p>
        </w:tc>
        <w:tc>
          <w:tcPr>
            <w:tcW w:w="540" w:type="dxa"/>
          </w:tcPr>
          <w:p w14:paraId="0079BC17" w14:textId="77777777" w:rsidR="00C01167" w:rsidRDefault="00D041C4" w:rsidP="00EF1F20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17A8A292" w14:textId="77777777" w:rsidR="00D041C4" w:rsidRDefault="00D041C4" w:rsidP="00EF1F20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5BE0177E" w14:textId="44EBC42C" w:rsidR="00D041C4" w:rsidRDefault="00D041C4" w:rsidP="00EF1F20">
            <w:pPr>
              <w:widowControl w:val="0"/>
              <w:spacing w:line="240" w:lineRule="auto"/>
              <w:jc w:val="center"/>
            </w:pPr>
            <w:r>
              <w:t>3.2</w:t>
            </w:r>
          </w:p>
        </w:tc>
        <w:tc>
          <w:tcPr>
            <w:tcW w:w="4230" w:type="dxa"/>
          </w:tcPr>
          <w:p w14:paraId="0A54E022" w14:textId="77777777" w:rsidR="00D016B9" w:rsidRDefault="00D016B9" w:rsidP="00D016B9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Revizuiesc principalele noțiuni ale capitolului </w:t>
            </w:r>
          </w:p>
          <w:p w14:paraId="752740E1" w14:textId="77777777" w:rsidR="00D016B9" w:rsidRDefault="00D016B9" w:rsidP="00D016B9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Răspund întrebărilor profesorului </w:t>
            </w:r>
          </w:p>
          <w:p w14:paraId="7DF0F158" w14:textId="77777777" w:rsidR="00D016B9" w:rsidRPr="00A52045" w:rsidRDefault="00D016B9" w:rsidP="00D016B9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Își f</w:t>
            </w:r>
            <w:r w:rsidRPr="00A52045">
              <w:rPr>
                <w:bCs/>
                <w:lang w:val="ro-RO"/>
              </w:rPr>
              <w:t>ix</w:t>
            </w:r>
            <w:r>
              <w:rPr>
                <w:bCs/>
                <w:lang w:val="ro-RO"/>
              </w:rPr>
              <w:t>ează</w:t>
            </w:r>
            <w:r w:rsidRPr="00A52045">
              <w:rPr>
                <w:bCs/>
                <w:lang w:val="ro-RO"/>
              </w:rPr>
              <w:t xml:space="preserve"> cunoștințel</w:t>
            </w:r>
            <w:r>
              <w:rPr>
                <w:bCs/>
                <w:lang w:val="ro-RO"/>
              </w:rPr>
              <w:t>e</w:t>
            </w:r>
            <w:r w:rsidRPr="00A52045">
              <w:rPr>
                <w:bCs/>
                <w:lang w:val="ro-RO"/>
              </w:rPr>
              <w:t xml:space="preserve"> prin jocuri didactice</w:t>
            </w:r>
          </w:p>
          <w:p w14:paraId="3EF21CFB" w14:textId="792BB804" w:rsidR="00CD5D6B" w:rsidRPr="00AC1981" w:rsidRDefault="00CD5D6B" w:rsidP="00EF1F20">
            <w:pPr>
              <w:spacing w:line="240" w:lineRule="auto"/>
              <w:rPr>
                <w:lang w:val="ro-RO"/>
              </w:rPr>
            </w:pPr>
          </w:p>
        </w:tc>
        <w:tc>
          <w:tcPr>
            <w:tcW w:w="1350" w:type="dxa"/>
          </w:tcPr>
          <w:p w14:paraId="694EABB6" w14:textId="385ED9F0" w:rsidR="00EF1F20" w:rsidRDefault="00D016B9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EF1F20">
              <w:t>0’</w:t>
            </w:r>
          </w:p>
        </w:tc>
        <w:tc>
          <w:tcPr>
            <w:tcW w:w="1980" w:type="dxa"/>
          </w:tcPr>
          <w:p w14:paraId="21934767" w14:textId="42550D28" w:rsidR="008330FB" w:rsidRDefault="008330FB" w:rsidP="008330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AF8FC6E" w14:textId="067069B0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514D5CCC" w14:textId="77777777" w:rsidR="008330FB" w:rsidRDefault="008330FB" w:rsidP="008330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0A1E5FDA" w14:textId="341883D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2BB766A7" w14:textId="77777777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A4FF5E7" w14:textId="3E47F8D5" w:rsidR="00EF1F20" w:rsidRDefault="00EF1F20" w:rsidP="00EF1F20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7C30DC24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97A5027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3A04CDD" w14:textId="27B17D7F" w:rsidR="005E13FE" w:rsidRDefault="005E13FE" w:rsidP="00EF1F20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  <w:p w14:paraId="7899723C" w14:textId="77777777" w:rsidR="00EF1F20" w:rsidRDefault="00EF1F20" w:rsidP="00EF1F20">
            <w:pPr>
              <w:rPr>
                <w:bCs/>
              </w:rPr>
            </w:pPr>
          </w:p>
        </w:tc>
        <w:tc>
          <w:tcPr>
            <w:tcW w:w="1800" w:type="dxa"/>
          </w:tcPr>
          <w:p w14:paraId="215DB62A" w14:textId="77777777" w:rsidR="00EF1F20" w:rsidRPr="00AC1981" w:rsidRDefault="00EF1F20" w:rsidP="00EF1F20">
            <w:pPr>
              <w:spacing w:line="240" w:lineRule="auto"/>
            </w:pPr>
            <w:r w:rsidRPr="00AC1981">
              <w:t>Probe orale</w:t>
            </w:r>
          </w:p>
          <w:p w14:paraId="72DCBA1E" w14:textId="77777777" w:rsidR="00EF1F20" w:rsidRPr="00AC1981" w:rsidRDefault="00EF1F20" w:rsidP="00EF1F20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31C06767" w14:textId="23144A55" w:rsidR="00EF1F20" w:rsidRPr="00AC1981" w:rsidRDefault="00EF1F20" w:rsidP="00EF1F20">
            <w:pPr>
              <w:spacing w:line="240" w:lineRule="auto"/>
            </w:pPr>
          </w:p>
        </w:tc>
      </w:tr>
      <w:tr w:rsidR="008A313E" w14:paraId="5ED43239" w14:textId="77777777" w:rsidTr="00D016B9">
        <w:trPr>
          <w:trHeight w:val="1133"/>
        </w:trPr>
        <w:tc>
          <w:tcPr>
            <w:tcW w:w="2160" w:type="dxa"/>
          </w:tcPr>
          <w:p w14:paraId="65A39126" w14:textId="34960585" w:rsidR="008A313E" w:rsidRDefault="00D016B9" w:rsidP="008A313E">
            <w:r>
              <w:t>E</w:t>
            </w:r>
            <w:r w:rsidR="008A313E">
              <w:t xml:space="preserve">valuare </w:t>
            </w:r>
          </w:p>
        </w:tc>
        <w:tc>
          <w:tcPr>
            <w:tcW w:w="540" w:type="dxa"/>
          </w:tcPr>
          <w:p w14:paraId="07F7B698" w14:textId="77777777" w:rsidR="008A313E" w:rsidRDefault="008A313E" w:rsidP="000F2AC2">
            <w:pPr>
              <w:widowControl w:val="0"/>
              <w:spacing w:line="240" w:lineRule="auto"/>
              <w:jc w:val="center"/>
            </w:pPr>
            <w:r>
              <w:t>3.2</w:t>
            </w:r>
          </w:p>
          <w:p w14:paraId="4F0447B4" w14:textId="4E40B96D" w:rsidR="008A313E" w:rsidRDefault="008A313E" w:rsidP="000F2AC2">
            <w:pPr>
              <w:widowControl w:val="0"/>
              <w:spacing w:line="240" w:lineRule="auto"/>
              <w:jc w:val="center"/>
            </w:pPr>
          </w:p>
        </w:tc>
        <w:tc>
          <w:tcPr>
            <w:tcW w:w="4230" w:type="dxa"/>
          </w:tcPr>
          <w:p w14:paraId="723FA99E" w14:textId="0C69D3AD" w:rsidR="008A313E" w:rsidRPr="00A52045" w:rsidRDefault="008A313E" w:rsidP="00EF1F20">
            <w:pPr>
              <w:spacing w:line="240" w:lineRule="auto"/>
              <w:rPr>
                <w:bCs/>
                <w:lang w:val="ro-RO"/>
              </w:rPr>
            </w:pPr>
            <w:r>
              <w:rPr>
                <w:lang w:val="ro-RO"/>
              </w:rPr>
              <w:t>Completează testul pe hârtie sau pe o platformă online</w:t>
            </w:r>
          </w:p>
        </w:tc>
        <w:tc>
          <w:tcPr>
            <w:tcW w:w="1350" w:type="dxa"/>
          </w:tcPr>
          <w:p w14:paraId="2F089020" w14:textId="77777777" w:rsidR="008A313E" w:rsidRDefault="008A313E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  <w:p w14:paraId="0F5AFB74" w14:textId="5B991925" w:rsidR="008A313E" w:rsidRDefault="008A313E" w:rsidP="00EF1F20">
            <w:pPr>
              <w:pStyle w:val="ListParagraph"/>
              <w:spacing w:line="240" w:lineRule="auto"/>
              <w:ind w:left="-114"/>
              <w:jc w:val="center"/>
            </w:pPr>
          </w:p>
        </w:tc>
        <w:tc>
          <w:tcPr>
            <w:tcW w:w="1980" w:type="dxa"/>
          </w:tcPr>
          <w:p w14:paraId="2C3E0EA6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2C975743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306D37BB" w14:textId="44FB5FEF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3E082742" w14:textId="77777777" w:rsidR="008A313E" w:rsidRDefault="008A313E" w:rsidP="00A52045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54CFE195" w14:textId="41184567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Platforme online </w:t>
            </w:r>
          </w:p>
          <w:p w14:paraId="2607CC1F" w14:textId="5BF51BFA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Menti.com</w:t>
            </w:r>
          </w:p>
          <w:p w14:paraId="27009AA1" w14:textId="77777777" w:rsidR="008A313E" w:rsidRDefault="008A313E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Whiteboard.fi</w:t>
            </w:r>
          </w:p>
          <w:p w14:paraId="68FFC950" w14:textId="5D38E5CF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1DB6612B" w14:textId="77777777" w:rsidR="008A313E" w:rsidRDefault="008A313E" w:rsidP="00A52045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53D2BFB0" w14:textId="77777777" w:rsidR="005E13FE" w:rsidRDefault="005E13FE" w:rsidP="00A52045">
            <w:pPr>
              <w:rPr>
                <w:bCs/>
              </w:rPr>
            </w:pPr>
          </w:p>
          <w:p w14:paraId="37DAEDBC" w14:textId="77777777" w:rsidR="008A313E" w:rsidRDefault="008A313E" w:rsidP="000F2AC2">
            <w:pPr>
              <w:rPr>
                <w:bCs/>
              </w:rPr>
            </w:pPr>
          </w:p>
        </w:tc>
        <w:tc>
          <w:tcPr>
            <w:tcW w:w="1800" w:type="dxa"/>
          </w:tcPr>
          <w:p w14:paraId="64DF1FCF" w14:textId="18065851" w:rsidR="008A313E" w:rsidRPr="00A52045" w:rsidRDefault="008A313E" w:rsidP="00A52045">
            <w:pPr>
              <w:spacing w:line="240" w:lineRule="auto"/>
              <w:rPr>
                <w:lang w:val="ro-RO"/>
              </w:rPr>
            </w:pPr>
            <w:r>
              <w:t>Probă scrisă</w:t>
            </w:r>
            <w:r w:rsidR="00C01167">
              <w:t xml:space="preserve"> cu interevaluare</w:t>
            </w:r>
          </w:p>
        </w:tc>
      </w:tr>
    </w:tbl>
    <w:p w14:paraId="5B591E43" w14:textId="77777777" w:rsidR="0075605A" w:rsidRDefault="0075605A" w:rsidP="000A3F91"/>
    <w:sectPr w:rsidR="0075605A" w:rsidSect="000A3F91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1"/>
    <w:rsid w:val="000A3F91"/>
    <w:rsid w:val="000D603F"/>
    <w:rsid w:val="000F2AC2"/>
    <w:rsid w:val="001167DC"/>
    <w:rsid w:val="0024777B"/>
    <w:rsid w:val="00254517"/>
    <w:rsid w:val="002E511B"/>
    <w:rsid w:val="00367DC5"/>
    <w:rsid w:val="00386AA3"/>
    <w:rsid w:val="003F55B2"/>
    <w:rsid w:val="00467A86"/>
    <w:rsid w:val="00490243"/>
    <w:rsid w:val="004A4F99"/>
    <w:rsid w:val="005761C6"/>
    <w:rsid w:val="005E13FE"/>
    <w:rsid w:val="007265AE"/>
    <w:rsid w:val="00750969"/>
    <w:rsid w:val="0075605A"/>
    <w:rsid w:val="007867AC"/>
    <w:rsid w:val="007A7528"/>
    <w:rsid w:val="007F7EF5"/>
    <w:rsid w:val="008330FB"/>
    <w:rsid w:val="00842C3E"/>
    <w:rsid w:val="008A313E"/>
    <w:rsid w:val="00927462"/>
    <w:rsid w:val="009E77DA"/>
    <w:rsid w:val="00A52045"/>
    <w:rsid w:val="00AC1981"/>
    <w:rsid w:val="00AD61D0"/>
    <w:rsid w:val="00B91DE3"/>
    <w:rsid w:val="00C01167"/>
    <w:rsid w:val="00CA0CCF"/>
    <w:rsid w:val="00CD5D6B"/>
    <w:rsid w:val="00CE0DFD"/>
    <w:rsid w:val="00D016B9"/>
    <w:rsid w:val="00D041C4"/>
    <w:rsid w:val="00D14714"/>
    <w:rsid w:val="00DE4C62"/>
    <w:rsid w:val="00EF1F20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BD81"/>
  <w15:chartTrackingRefBased/>
  <w15:docId w15:val="{3E136142-6422-4BF3-A263-2998252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8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7</cp:revision>
  <dcterms:created xsi:type="dcterms:W3CDTF">2024-07-10T15:47:00Z</dcterms:created>
  <dcterms:modified xsi:type="dcterms:W3CDTF">2024-07-10T16:06:00Z</dcterms:modified>
</cp:coreProperties>
</file>